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0"/>
      <w:bookmarkEnd w:id="1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2" w:name="OLE_LINK3"/>
      <w:bookmarkStart w:id="3" w:name="OLE_LINK4"/>
      <w:r w:rsidR="001D360B" w:rsidRPr="000D7D3C">
        <w:rPr>
          <w:sz w:val="28"/>
          <w:szCs w:val="28"/>
        </w:rPr>
        <w:t>О внесении изменений в постановление администрации Шалинского муниципального округа от 03.03.2025 года № 137 «Об утверждении Положения об условиях размещения нестационарных торговых объектов на территории Шалинского муниципального округа»</w:t>
      </w:r>
      <w:bookmarkEnd w:id="2"/>
      <w:bookmarkEnd w:id="3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400AA9">
        <w:rPr>
          <w:b/>
          <w:sz w:val="22"/>
          <w:szCs w:val="22"/>
        </w:rPr>
        <w:t>01/07/02-26/00016034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4" w:name="OLE_LINK5"/>
      <w:bookmarkStart w:id="5" w:name="OLE_LINK6"/>
      <w:r w:rsidR="001D360B">
        <w:fldChar w:fldCharType="begin"/>
      </w:r>
      <w:r w:rsidR="00596697">
        <w:instrText>HYPERLINK "http://regulation.midural.ru/projects#npa=16034"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80326F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80326F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80326F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80326F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80326F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80326F">
        <w:rPr>
          <w:rStyle w:val="a8"/>
        </w:rPr>
        <w:t>=16034</w:t>
      </w:r>
      <w:bookmarkEnd w:id="4"/>
      <w:bookmarkEnd w:id="5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02.02.2026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13.02.2026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6" w:name="OLE_LINK7"/>
      <w:bookmarkStart w:id="7" w:name="OLE_LINK8"/>
      <w:r w:rsidR="001D360B" w:rsidRPr="001D360B">
        <w:rPr>
          <w:b/>
          <w:sz w:val="22"/>
          <w:szCs w:val="22"/>
        </w:rPr>
        <w:t>0</w:t>
      </w:r>
      <w:bookmarkEnd w:id="6"/>
      <w:bookmarkEnd w:id="7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16.02.2026 в 8:43</w:t>
      </w:r>
    </w:p>
    <w:p w:rsidR="00980900" w:rsidRDefault="00980900" w:rsidP="00117C8F"/>
    <w:tbl>
      <w:tblPr>
        <w:tblStyle w:val="tablebody"/>
        <w:tblW w:w="14939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726"/>
        <w:gridCol w:w="4733"/>
      </w:tblGrid>
      <w:tr w:rsidR="00980900" w:rsidRPr="000D7D3C" w:rsidTr="000D7D3C">
        <w:trPr>
          <w:trHeight w:val="270"/>
        </w:trPr>
        <w:tc>
          <w:tcPr>
            <w:tcW w:w="937" w:type="dxa"/>
            <w:vAlign w:val="center"/>
          </w:tcPr>
          <w:p w:rsidR="00980900" w:rsidRPr="000D7D3C" w:rsidRDefault="00980900" w:rsidP="00400AA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0D7D3C">
              <w:rPr>
                <w:rFonts w:ascii="Liberation Serif" w:hAnsi="Liberation Serif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0D7D3C" w:rsidRDefault="00980900" w:rsidP="00400AA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0D7D3C">
              <w:rPr>
                <w:rFonts w:ascii="Liberation Serif" w:hAnsi="Liberation Serif" w:cs="Times New Roman"/>
                <w:b/>
              </w:rPr>
              <w:t>Участник обсуждения</w:t>
            </w:r>
          </w:p>
        </w:tc>
        <w:tc>
          <w:tcPr>
            <w:tcW w:w="5726" w:type="dxa"/>
            <w:vAlign w:val="center"/>
          </w:tcPr>
          <w:p w:rsidR="00980900" w:rsidRPr="000D7D3C" w:rsidRDefault="00980900" w:rsidP="00400AA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0D7D3C">
              <w:rPr>
                <w:rFonts w:ascii="Liberation Serif" w:hAnsi="Liberation Serif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0D7D3C" w:rsidRDefault="00980900" w:rsidP="00400AA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0D7D3C">
              <w:rPr>
                <w:rFonts w:ascii="Liberation Serif" w:hAnsi="Liberation Serif" w:cs="Times New Roman"/>
                <w:b/>
              </w:rPr>
              <w:t>Комментарии разработчика</w:t>
            </w:r>
          </w:p>
        </w:tc>
      </w:tr>
      <w:tr w:rsidR="00AC649F" w:rsidRPr="000D7D3C" w:rsidTr="000D7D3C">
        <w:trPr>
          <w:trHeight w:val="1423"/>
        </w:trPr>
        <w:tc>
          <w:tcPr>
            <w:tcW w:w="937" w:type="dxa"/>
            <w:vMerge w:val="restart"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D7D3C">
              <w:rPr>
                <w:rFonts w:ascii="Liberation Serif" w:hAnsi="Liberation Serif"/>
              </w:rPr>
              <w:t>1</w:t>
            </w:r>
          </w:p>
        </w:tc>
        <w:tc>
          <w:tcPr>
            <w:tcW w:w="3543" w:type="dxa"/>
            <w:vMerge w:val="restart"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D7D3C">
              <w:rPr>
                <w:rFonts w:ascii="Liberation Serif" w:hAnsi="Liberation Serif"/>
              </w:rPr>
              <w:t xml:space="preserve">Независимый эксперт Мельникова </w:t>
            </w:r>
            <w:proofErr w:type="spellStart"/>
            <w:r w:rsidRPr="000D7D3C">
              <w:rPr>
                <w:rFonts w:ascii="Liberation Serif" w:hAnsi="Liberation Serif"/>
              </w:rPr>
              <w:t>О.А</w:t>
            </w:r>
            <w:proofErr w:type="spellEnd"/>
            <w:r w:rsidRPr="000D7D3C">
              <w:rPr>
                <w:rFonts w:ascii="Liberation Serif" w:hAnsi="Liberation Serif"/>
              </w:rPr>
              <w:t>.</w:t>
            </w:r>
          </w:p>
        </w:tc>
        <w:tc>
          <w:tcPr>
            <w:tcW w:w="5726" w:type="dxa"/>
          </w:tcPr>
          <w:p w:rsidR="00AC649F" w:rsidRPr="000D7D3C" w:rsidRDefault="00AC649F" w:rsidP="00400AA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Chars="-48" w:right="-115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>Добавить приложение с перечнем документов, которые Правообладатель должен предоставить для заключения договора и в процессе его выполнения</w:t>
            </w:r>
          </w:p>
        </w:tc>
        <w:tc>
          <w:tcPr>
            <w:tcW w:w="4733" w:type="dxa"/>
          </w:tcPr>
          <w:p w:rsidR="00AC649F" w:rsidRPr="000D7D3C" w:rsidRDefault="00AC649F" w:rsidP="00400AA9">
            <w:pPr>
              <w:spacing w:after="0" w:line="240" w:lineRule="auto"/>
              <w:ind w:rightChars="-52" w:right="-125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>Добавлено приложение с перечнем документов, которые Правообладатель должен предоставить для заключения договора и в процессе его выполнения (прилагается)</w:t>
            </w:r>
          </w:p>
        </w:tc>
      </w:tr>
      <w:tr w:rsidR="00AC649F" w:rsidRPr="000D7D3C" w:rsidTr="00400AA9">
        <w:trPr>
          <w:trHeight w:val="1071"/>
        </w:trPr>
        <w:tc>
          <w:tcPr>
            <w:tcW w:w="937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vAlign w:val="center"/>
          </w:tcPr>
          <w:p w:rsidR="00AC649F" w:rsidRPr="00AC649F" w:rsidRDefault="00AC649F" w:rsidP="00400AA9">
            <w:pPr>
              <w:spacing w:after="0" w:line="240" w:lineRule="auto"/>
            </w:pPr>
          </w:p>
        </w:tc>
        <w:tc>
          <w:tcPr>
            <w:tcW w:w="5726" w:type="dxa"/>
          </w:tcPr>
          <w:p w:rsidR="00AC649F" w:rsidRPr="000D7D3C" w:rsidRDefault="00AC649F" w:rsidP="00400AA9">
            <w:pPr>
              <w:pStyle w:val="a9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i/>
                <w:color w:val="222222"/>
              </w:rPr>
            </w:pPr>
            <w:r w:rsidRPr="000D7D3C">
              <w:rPr>
                <w:rFonts w:ascii="Liberation Serif" w:hAnsi="Liberation Serif" w:cs="Liberation Serif"/>
                <w:i/>
                <w:color w:val="000000"/>
              </w:rPr>
              <w:t xml:space="preserve">Пункт 4.1.2. Администрация </w:t>
            </w:r>
            <w:r w:rsidRPr="000D7D3C">
              <w:rPr>
                <w:rFonts w:ascii="Liberation Serif" w:hAnsi="Liberation Serif" w:cs="Liberation Serif"/>
                <w:bCs/>
                <w:i/>
                <w:color w:val="000000"/>
              </w:rPr>
              <w:t>не отвечает за недостатки места для размещения нестационарного торго</w:t>
            </w:r>
            <w:r w:rsidRPr="000D7D3C">
              <w:rPr>
                <w:rFonts w:ascii="Liberation Serif" w:hAnsi="Liberation Serif" w:cs="Liberation Serif"/>
                <w:i/>
                <w:color w:val="000000"/>
              </w:rPr>
              <w:t>вого объекта, которые были оговорены при заключении настоящего Договора или были заранее известны Правообладателю, либо должны были быть обнаружены Правообладателем во время осмотра места размещения Объекта до заключения Договора</w:t>
            </w:r>
          </w:p>
          <w:p w:rsidR="00AC649F" w:rsidRPr="000D7D3C" w:rsidRDefault="00AC649F" w:rsidP="00400AA9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eastAsia="Arial Unicode MS" w:hAnsi="Liberation Serif" w:cs="Liberation Serif"/>
              </w:rPr>
              <w:t>Смягчить слово «не отвечает» и заменить его на «</w:t>
            </w:r>
            <w:r w:rsidRPr="000D7D3C">
              <w:rPr>
                <w:rFonts w:ascii="Liberation Serif" w:hAnsi="Liberation Serif" w:cs="Liberation Serif"/>
              </w:rPr>
              <w:t>не несет ответственности»</w:t>
            </w:r>
          </w:p>
          <w:p w:rsidR="00AC649F" w:rsidRPr="000D7D3C" w:rsidRDefault="00AC649F" w:rsidP="00400AA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AC649F" w:rsidRPr="000D7D3C" w:rsidRDefault="00AC649F" w:rsidP="00400AA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AC649F" w:rsidRPr="000D7D3C" w:rsidRDefault="00AC649F" w:rsidP="00400AA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>Также добавить, что Администрация несет ответственность за недостатки, возникшие после передачи места по ее вине.</w:t>
            </w:r>
          </w:p>
        </w:tc>
        <w:tc>
          <w:tcPr>
            <w:tcW w:w="4733" w:type="dxa"/>
          </w:tcPr>
          <w:p w:rsidR="00AC649F" w:rsidRPr="000D7D3C" w:rsidRDefault="00AC649F" w:rsidP="00400AA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 xml:space="preserve">Пункт 4.1.2 изложен в новой редакции: </w:t>
            </w:r>
          </w:p>
          <w:p w:rsidR="00AC649F" w:rsidRPr="000D7D3C" w:rsidRDefault="00AC649F" w:rsidP="00400AA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0D7D3C">
              <w:rPr>
                <w:rFonts w:ascii="Liberation Serif" w:hAnsi="Liberation Serif"/>
                <w:color w:val="000000"/>
              </w:rPr>
              <w:t xml:space="preserve">4.1.2. Администрация не несет ответственности за </w:t>
            </w:r>
            <w:proofErr w:type="gramStart"/>
            <w:r w:rsidRPr="000D7D3C">
              <w:rPr>
                <w:rFonts w:ascii="Liberation Serif" w:hAnsi="Liberation Serif"/>
                <w:color w:val="000000"/>
              </w:rPr>
              <w:t>недостатки</w:t>
            </w:r>
            <w:proofErr w:type="gramEnd"/>
            <w:r w:rsidRPr="000D7D3C">
              <w:rPr>
                <w:rFonts w:ascii="Liberation Serif" w:hAnsi="Liberation Serif"/>
                <w:color w:val="000000"/>
              </w:rPr>
              <w:t xml:space="preserve"> существовавшие на момент передачи места, о которых Правообладатель был предупрежден или мог обнаружить при осмотре.</w:t>
            </w:r>
          </w:p>
          <w:p w:rsidR="00AC649F" w:rsidRPr="000D7D3C" w:rsidRDefault="00AC649F" w:rsidP="00400AA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</w:p>
          <w:p w:rsidR="00AC649F" w:rsidRPr="000D7D3C" w:rsidRDefault="00AC649F" w:rsidP="00400AA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</w:p>
          <w:p w:rsidR="00AC649F" w:rsidRPr="000D7D3C" w:rsidRDefault="00AC649F" w:rsidP="00400AA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0D7D3C">
              <w:rPr>
                <w:rFonts w:ascii="Liberation Serif" w:hAnsi="Liberation Serif"/>
                <w:color w:val="000000"/>
              </w:rPr>
              <w:t xml:space="preserve">Добавлен пункт 4.1.3 следующего содержания: </w:t>
            </w:r>
          </w:p>
          <w:p w:rsidR="00AC649F" w:rsidRPr="000D7D3C" w:rsidRDefault="00AC649F" w:rsidP="00400AA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0D7D3C">
              <w:rPr>
                <w:rFonts w:ascii="Liberation Serif" w:hAnsi="Liberation Serif"/>
                <w:color w:val="000000"/>
              </w:rPr>
              <w:t>4.1.3. Администрация несет ответственность за недостатки, возникшие после передачи места по ее вине.</w:t>
            </w:r>
          </w:p>
          <w:p w:rsidR="00AC649F" w:rsidRPr="000D7D3C" w:rsidRDefault="00AC649F" w:rsidP="00400AA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AC649F" w:rsidRPr="000D7D3C" w:rsidTr="000D7D3C">
        <w:trPr>
          <w:trHeight w:val="270"/>
        </w:trPr>
        <w:tc>
          <w:tcPr>
            <w:tcW w:w="937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5726" w:type="dxa"/>
          </w:tcPr>
          <w:p w:rsidR="00AC649F" w:rsidRPr="000D7D3C" w:rsidRDefault="00AC649F" w:rsidP="00400AA9">
            <w:pPr>
              <w:pStyle w:val="a9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 xml:space="preserve">Рассмотреть возможность включения в договор </w:t>
            </w:r>
            <w:r w:rsidRPr="000D7D3C">
              <w:rPr>
                <w:rFonts w:ascii="Liberation Serif" w:hAnsi="Liberation Serif" w:cs="Liberation Serif"/>
              </w:rPr>
              <w:lastRenderedPageBreak/>
              <w:t>обязанности Правообладателя застраховать свою ответственность перед третьими лицами за возможный ущерб, причиненный их деятельности.</w:t>
            </w:r>
          </w:p>
        </w:tc>
        <w:tc>
          <w:tcPr>
            <w:tcW w:w="4733" w:type="dxa"/>
          </w:tcPr>
          <w:p w:rsidR="00AC649F" w:rsidRPr="000D7D3C" w:rsidRDefault="00AC649F" w:rsidP="00400AA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0D7D3C">
              <w:rPr>
                <w:rFonts w:ascii="Liberation Serif" w:hAnsi="Liberation Serif"/>
                <w:color w:val="000000"/>
              </w:rPr>
              <w:lastRenderedPageBreak/>
              <w:t xml:space="preserve">Добавлен пункт 4.4.14 следующего </w:t>
            </w:r>
            <w:r w:rsidRPr="000D7D3C">
              <w:rPr>
                <w:rFonts w:ascii="Liberation Serif" w:hAnsi="Liberation Serif"/>
                <w:color w:val="000000"/>
              </w:rPr>
              <w:lastRenderedPageBreak/>
              <w:t>содержания:</w:t>
            </w:r>
          </w:p>
          <w:p w:rsidR="00AC649F" w:rsidRPr="000D7D3C" w:rsidRDefault="00AC649F" w:rsidP="00400AA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0D7D3C">
              <w:rPr>
                <w:rFonts w:ascii="Liberation Serif" w:hAnsi="Liberation Serif"/>
                <w:color w:val="000000"/>
              </w:rPr>
              <w:t>4.4.14. Застраховать свою ответственность перед третьими лицами за возможный ущерб, причиненный их деятельности.</w:t>
            </w:r>
          </w:p>
        </w:tc>
      </w:tr>
      <w:tr w:rsidR="00AC649F" w:rsidRPr="000D7D3C" w:rsidTr="000D7D3C">
        <w:trPr>
          <w:trHeight w:val="270"/>
        </w:trPr>
        <w:tc>
          <w:tcPr>
            <w:tcW w:w="937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5726" w:type="dxa"/>
          </w:tcPr>
          <w:p w:rsidR="00AC649F" w:rsidRPr="000D7D3C" w:rsidRDefault="00AC649F" w:rsidP="00400AA9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>Включить в договор обязанность сторон уведомлять друг друга о возникновении конфликта интересов или возможности его возникновения.</w:t>
            </w:r>
          </w:p>
          <w:p w:rsidR="00AC649F" w:rsidRPr="000D7D3C" w:rsidRDefault="00AC649F" w:rsidP="00400AA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733" w:type="dxa"/>
          </w:tcPr>
          <w:p w:rsidR="00AC649F" w:rsidRPr="000D7D3C" w:rsidRDefault="00AC649F" w:rsidP="00400AA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0D7D3C">
              <w:rPr>
                <w:rFonts w:ascii="Liberation Serif" w:hAnsi="Liberation Serif"/>
                <w:color w:val="000000"/>
              </w:rPr>
              <w:t>Добавлен пункт 4.6. следующего содержания:</w:t>
            </w:r>
          </w:p>
          <w:p w:rsidR="00AC649F" w:rsidRPr="000D7D3C" w:rsidRDefault="00AC649F" w:rsidP="00400AA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0D7D3C">
              <w:rPr>
                <w:rFonts w:ascii="Liberation Serif" w:hAnsi="Liberation Serif"/>
                <w:color w:val="000000"/>
              </w:rPr>
              <w:t>4.6. Администрация и Правообладатель обязаны уведомлять друг друга о возникновении конфликта интересов или возможности его возникновения.</w:t>
            </w:r>
          </w:p>
        </w:tc>
      </w:tr>
      <w:tr w:rsidR="00AC649F" w:rsidRPr="000D7D3C" w:rsidTr="000D7D3C">
        <w:trPr>
          <w:trHeight w:val="270"/>
        </w:trPr>
        <w:tc>
          <w:tcPr>
            <w:tcW w:w="937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5726" w:type="dxa"/>
          </w:tcPr>
          <w:p w:rsidR="00AC649F" w:rsidRPr="000D7D3C" w:rsidRDefault="00AC649F" w:rsidP="00400AA9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>Разделить понятия "цена права на заключение договора" и "ежегодный платеж". Четко прописать размеры и сроки внесения каждого из этих платежей. Лучше выделить цену права на заключение в отдельный пункт, а ежегодную плату в другой.</w:t>
            </w:r>
          </w:p>
          <w:p w:rsidR="00AC649F" w:rsidRPr="000D7D3C" w:rsidRDefault="00AC649F" w:rsidP="00400AA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733" w:type="dxa"/>
          </w:tcPr>
          <w:p w:rsidR="00AC649F" w:rsidRPr="000D7D3C" w:rsidRDefault="00AC649F" w:rsidP="00400AA9">
            <w:pPr>
              <w:pStyle w:val="ConsPlusNonformat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D7D3C">
              <w:rPr>
                <w:rFonts w:ascii="Liberation Serif" w:hAnsi="Liberation Serif" w:cs="Times New Roman"/>
                <w:sz w:val="24"/>
                <w:szCs w:val="24"/>
              </w:rPr>
              <w:t>Разделены понятия «цена права» и «ежегодный платеж» (разные пункты договора):</w:t>
            </w:r>
          </w:p>
          <w:p w:rsidR="00AC649F" w:rsidRPr="000D7D3C" w:rsidRDefault="00AC649F" w:rsidP="00400AA9">
            <w:pPr>
              <w:pStyle w:val="ConsPlusNonformat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D7D3C">
              <w:rPr>
                <w:rFonts w:ascii="Liberation Serif" w:hAnsi="Liberation Serif" w:cs="Times New Roman"/>
                <w:sz w:val="24"/>
                <w:szCs w:val="24"/>
              </w:rPr>
              <w:t>Пункт 3.1 следующего содержания: 3.1. Цена права на заключение настоящего Договора составляет ______ в год, включая сумму внесенного задатка.</w:t>
            </w:r>
          </w:p>
          <w:p w:rsidR="00AC649F" w:rsidRPr="00400AA9" w:rsidRDefault="00AC649F" w:rsidP="00400AA9">
            <w:pPr>
              <w:pStyle w:val="ConsPlusNonformat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D7D3C">
              <w:rPr>
                <w:rFonts w:ascii="Liberation Serif" w:hAnsi="Liberation Serif" w:cs="Times New Roman"/>
                <w:sz w:val="24"/>
                <w:szCs w:val="24"/>
              </w:rPr>
              <w:t>Пункт 3.2. следующего содержания: 3.2. Оплата по Договору на размещение нестационарного торгового объекта производится в размере ежегодного платежа за размещение нестационарного торгового объекта сложившегося в ходе аукциона ежегодно до 01 декабря текущего года.</w:t>
            </w:r>
          </w:p>
        </w:tc>
      </w:tr>
      <w:tr w:rsidR="00AC649F" w:rsidRPr="000D7D3C" w:rsidTr="000D7D3C">
        <w:trPr>
          <w:trHeight w:val="270"/>
        </w:trPr>
        <w:tc>
          <w:tcPr>
            <w:tcW w:w="937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5726" w:type="dxa"/>
          </w:tcPr>
          <w:p w:rsidR="00AC649F" w:rsidRPr="000D7D3C" w:rsidRDefault="00AC649F" w:rsidP="00400AA9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>Включить в договор обязанность сторон уведомлять друг друга о возникновении конфликта интересов или возможности его возникновения.</w:t>
            </w:r>
          </w:p>
          <w:p w:rsidR="00AC649F" w:rsidRPr="000D7D3C" w:rsidRDefault="00AC649F" w:rsidP="00400AA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733" w:type="dxa"/>
          </w:tcPr>
          <w:p w:rsidR="00AC649F" w:rsidRPr="000D7D3C" w:rsidRDefault="00AC649F" w:rsidP="00400AA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0D7D3C">
              <w:rPr>
                <w:rFonts w:ascii="Liberation Serif" w:hAnsi="Liberation Serif"/>
                <w:color w:val="000000"/>
              </w:rPr>
              <w:t>Добавлен пункт 4.6. следующего содержания:</w:t>
            </w:r>
          </w:p>
          <w:p w:rsidR="00AC649F" w:rsidRPr="000D7D3C" w:rsidRDefault="00AC649F" w:rsidP="00400AA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0D7D3C">
              <w:rPr>
                <w:rFonts w:ascii="Liberation Serif" w:hAnsi="Liberation Serif"/>
                <w:color w:val="000000"/>
              </w:rPr>
              <w:t>4.6. Администрация и Правообладатель обязаны уведомлять друг друга о возникновении конфликта интересов или возможности его возникновения.</w:t>
            </w:r>
          </w:p>
        </w:tc>
      </w:tr>
      <w:tr w:rsidR="00AC649F" w:rsidRPr="000D7D3C" w:rsidTr="000D7D3C">
        <w:trPr>
          <w:trHeight w:val="270"/>
        </w:trPr>
        <w:tc>
          <w:tcPr>
            <w:tcW w:w="937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5726" w:type="dxa"/>
          </w:tcPr>
          <w:p w:rsidR="00AC649F" w:rsidRPr="000D7D3C" w:rsidRDefault="00AC649F" w:rsidP="00400AA9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 xml:space="preserve">Сделать основания расторжения договора со стороны Администрации более конкретными и объективными (например, не просто "нарушение условий договора", а "нарушение конкретных пунктов </w:t>
            </w:r>
            <w:r w:rsidRPr="000D7D3C">
              <w:rPr>
                <w:rFonts w:ascii="Liberation Serif" w:hAnsi="Liberation Serif" w:cs="Liberation Serif"/>
              </w:rPr>
              <w:lastRenderedPageBreak/>
              <w:t>договора, подтвержденное актом проверки"</w:t>
            </w:r>
            <w:proofErr w:type="gramStart"/>
            <w:r w:rsidRPr="000D7D3C">
              <w:rPr>
                <w:rFonts w:ascii="Liberation Serif" w:hAnsi="Liberation Serif" w:cs="Liberation Serif"/>
              </w:rPr>
              <w:t xml:space="preserve"> )</w:t>
            </w:r>
            <w:proofErr w:type="gramEnd"/>
            <w:r w:rsidRPr="000D7D3C">
              <w:rPr>
                <w:rFonts w:ascii="Liberation Serif" w:hAnsi="Liberation Serif" w:cs="Liberation Serif"/>
              </w:rPr>
              <w:t>.</w:t>
            </w:r>
          </w:p>
          <w:p w:rsidR="00AC649F" w:rsidRPr="000D7D3C" w:rsidRDefault="00AC649F" w:rsidP="00400AA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733" w:type="dxa"/>
          </w:tcPr>
          <w:p w:rsidR="00AC649F" w:rsidRPr="000D7D3C" w:rsidRDefault="00AC649F" w:rsidP="00400AA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lastRenderedPageBreak/>
              <w:t>Подпункты 4 и 5 пункта 7 Договора изложены в следующей редакции:</w:t>
            </w:r>
          </w:p>
          <w:p w:rsidR="00AC649F" w:rsidRPr="000D7D3C" w:rsidRDefault="00AC649F" w:rsidP="00400AA9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 xml:space="preserve">4) использование места размещения нестационарного торгового объекта с </w:t>
            </w:r>
            <w:r w:rsidRPr="000D7D3C">
              <w:rPr>
                <w:rFonts w:ascii="Liberation Serif" w:hAnsi="Liberation Serif" w:cs="Liberation Serif"/>
              </w:rPr>
              <w:lastRenderedPageBreak/>
              <w:t>нарушением условий Договора, указанных в пунктах 4.4.5, 4.4.7, 4.4.8, 4.4.9, 4.4.10, 4.4.11;</w:t>
            </w:r>
          </w:p>
          <w:p w:rsidR="00AC649F" w:rsidRPr="000D7D3C" w:rsidRDefault="00AC649F" w:rsidP="00400AA9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>5) двукратного или более невнесения или неполного внесения платы в срок, установленный Договором (пункт 3.2. договора).</w:t>
            </w:r>
          </w:p>
        </w:tc>
      </w:tr>
      <w:tr w:rsidR="00AC649F" w:rsidRPr="000D7D3C" w:rsidTr="000D7D3C">
        <w:trPr>
          <w:trHeight w:val="270"/>
        </w:trPr>
        <w:tc>
          <w:tcPr>
            <w:tcW w:w="937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5726" w:type="dxa"/>
          </w:tcPr>
          <w:p w:rsidR="00AC649F" w:rsidRPr="000D7D3C" w:rsidRDefault="00AC649F" w:rsidP="00400AA9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>В пункте 4.4.13 необходимо четко прописать требования к "восстановленному благоустройству" (материалы, технологии, размеры, соответствие первоначальному состоянию). Обязательно указать порядок приемки работ по восстановлению благоустройства и ответственных лиц со стороны Администрации.</w:t>
            </w:r>
          </w:p>
          <w:p w:rsidR="00AC649F" w:rsidRPr="000D7D3C" w:rsidRDefault="00AC649F" w:rsidP="00400AA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bookmarkStart w:id="8" w:name="_GoBack"/>
            <w:bookmarkEnd w:id="8"/>
          </w:p>
        </w:tc>
        <w:tc>
          <w:tcPr>
            <w:tcW w:w="4733" w:type="dxa"/>
          </w:tcPr>
          <w:p w:rsidR="00AC649F" w:rsidRPr="000D7D3C" w:rsidRDefault="00AC649F" w:rsidP="00400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0D7D3C">
              <w:rPr>
                <w:rFonts w:ascii="Liberation Serif" w:hAnsi="Liberation Serif"/>
                <w:color w:val="000000"/>
              </w:rPr>
              <w:t>Пункт 4.4.12 изложен в следующей редакции:</w:t>
            </w:r>
          </w:p>
          <w:p w:rsidR="00AC649F" w:rsidRPr="000D7D3C" w:rsidRDefault="00AC649F" w:rsidP="00400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FF0000"/>
              </w:rPr>
            </w:pPr>
            <w:r w:rsidRPr="000D7D3C">
              <w:rPr>
                <w:rFonts w:ascii="Liberation Serif" w:hAnsi="Liberation Serif"/>
                <w:color w:val="000000"/>
              </w:rPr>
              <w:t xml:space="preserve">4.4.12. В случае окончания срока действия Договора, его расторжения, прекращения, а также в случае принудительного перемещения, либо демонтажа и вывоза Объекта Правообладателем по основаниям, предусмотренным договором, восстановить поврежденные элементы благоустройства на </w:t>
            </w:r>
            <w:proofErr w:type="gramStart"/>
            <w:r w:rsidRPr="000D7D3C">
              <w:rPr>
                <w:rFonts w:ascii="Liberation Serif" w:hAnsi="Liberation Serif"/>
                <w:color w:val="000000"/>
              </w:rPr>
              <w:t>территории</w:t>
            </w:r>
            <w:proofErr w:type="gramEnd"/>
            <w:r w:rsidRPr="000D7D3C">
              <w:rPr>
                <w:rFonts w:ascii="Liberation Serif" w:hAnsi="Liberation Serif"/>
                <w:color w:val="000000"/>
              </w:rPr>
              <w:t xml:space="preserve"> в границах которой находится место размещения объекта и привести место размещения объекта в состояние, существовавшее до размещения объекта  с последующей передачей восстановленных элементов благоустройства Администрации в срок 10 рабочих дней. </w:t>
            </w:r>
          </w:p>
        </w:tc>
      </w:tr>
      <w:tr w:rsidR="00AC649F" w:rsidRPr="000D7D3C" w:rsidTr="000D7D3C">
        <w:trPr>
          <w:trHeight w:val="270"/>
        </w:trPr>
        <w:tc>
          <w:tcPr>
            <w:tcW w:w="937" w:type="dxa"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vMerge/>
            <w:vAlign w:val="center"/>
          </w:tcPr>
          <w:p w:rsidR="00AC649F" w:rsidRPr="000D7D3C" w:rsidRDefault="00AC649F" w:rsidP="00400A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5726" w:type="dxa"/>
          </w:tcPr>
          <w:p w:rsidR="00AC649F" w:rsidRPr="000D7D3C" w:rsidRDefault="00AC649F" w:rsidP="00400AA9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>Уточнить, какие действия считаются нанесением вреда окружающей среде, и установить критерии оценки такого вреда.</w:t>
            </w:r>
          </w:p>
        </w:tc>
        <w:tc>
          <w:tcPr>
            <w:tcW w:w="4733" w:type="dxa"/>
          </w:tcPr>
          <w:p w:rsidR="00AC649F" w:rsidRPr="000D7D3C" w:rsidRDefault="00AC649F" w:rsidP="00400AA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0D7D3C">
              <w:rPr>
                <w:rFonts w:ascii="Liberation Serif" w:hAnsi="Liberation Serif" w:cs="Liberation Serif"/>
              </w:rPr>
              <w:t>Пункт 4.4.10 договора исключить.</w:t>
            </w:r>
          </w:p>
        </w:tc>
      </w:tr>
    </w:tbl>
    <w:p w:rsidR="000D7D3C" w:rsidRPr="00B17966" w:rsidRDefault="000D7D3C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0D7D3C" w:rsidRDefault="000D7D3C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0D7D3C" w:rsidRDefault="000D7D3C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Default="00B53590" w:rsidP="00117C8F">
      <w:pPr>
        <w:rPr>
          <w:sz w:val="28"/>
          <w:szCs w:val="28"/>
        </w:rPr>
      </w:pPr>
    </w:p>
    <w:p w:rsidR="000D7D3C" w:rsidRPr="00B17966" w:rsidRDefault="000D7D3C" w:rsidP="00117C8F">
      <w:pPr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="00400AA9">
        <w:rPr>
          <w:rFonts w:ascii="Liberation Serif" w:hAnsi="Liberation Serif" w:cs="Liberation Serif"/>
        </w:rPr>
        <w:t xml:space="preserve">  </w:t>
      </w:r>
    </w:p>
    <w:sectPr w:rsidR="000D7D3C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7EF" w:rsidRDefault="00F207EF">
      <w:r>
        <w:separator/>
      </w:r>
    </w:p>
  </w:endnote>
  <w:endnote w:type="continuationSeparator" w:id="0">
    <w:p w:rsidR="00F207EF" w:rsidRDefault="00F2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7EF" w:rsidRDefault="00F207EF">
      <w:r>
        <w:separator/>
      </w:r>
    </w:p>
  </w:footnote>
  <w:footnote w:type="continuationSeparator" w:id="0">
    <w:p w:rsidR="00F207EF" w:rsidRDefault="00F20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3">
    <w:nsid w:val="7A91AC9D"/>
    <w:multiLevelType w:val="singleLevel"/>
    <w:tmpl w:val="7A91AC9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D7D3C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0AA9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6F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5D1D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649F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07EF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  <w:style w:type="paragraph" w:customStyle="1" w:styleId="ConsPlusNonformat">
    <w:name w:val="ConsPlusNonformat"/>
    <w:rsid w:val="000D7D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  <w:style w:type="paragraph" w:customStyle="1" w:styleId="ConsPlusNonformat">
    <w:name w:val="ConsPlusNonformat"/>
    <w:rsid w:val="000D7D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71856-5AC1-4F96-9B37-B7424FEF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5</cp:revision>
  <cp:lastPrinted>2015-05-12T12:20:00Z</cp:lastPrinted>
  <dcterms:created xsi:type="dcterms:W3CDTF">2026-02-16T03:44:00Z</dcterms:created>
  <dcterms:modified xsi:type="dcterms:W3CDTF">2026-02-16T06:11:00Z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